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38" w:rsidRDefault="00D86C38" w:rsidP="005065BA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auto"/>
          <w:lang w:val="en-US"/>
        </w:rPr>
      </w:pPr>
      <w:r>
        <w:rPr>
          <w:rFonts w:asciiTheme="minorHAnsi" w:hAnsiTheme="minorHAnsi" w:cstheme="minorHAnsi"/>
          <w:b/>
          <w:bCs/>
          <w:noProof/>
          <w:color w:val="auto"/>
          <w:lang w:val="en-US"/>
        </w:rPr>
        <w:t>May 18</w:t>
      </w:r>
      <w:bookmarkStart w:id="0" w:name="_GoBack"/>
      <w:bookmarkEnd w:id="0"/>
    </w:p>
    <w:p w:rsidR="00BB7F7C" w:rsidRPr="004F3B00" w:rsidRDefault="00BB7F7C" w:rsidP="005065BA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b/>
          <w:bCs/>
          <w:noProof/>
          <w:color w:val="auto"/>
          <w:lang w:val="en-US"/>
        </w:rPr>
        <w:t>Mango Bells are Ringing!</w:t>
      </w:r>
    </w:p>
    <w:p w:rsidR="00BB7F7C" w:rsidRDefault="005065BA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>
        <w:rPr>
          <w:rFonts w:asciiTheme="minorHAnsi" w:hAnsiTheme="minorHAnsi" w:cstheme="minorHAnsi"/>
          <w:noProof/>
          <w:color w:val="auto"/>
          <w:lang w:val="en-US"/>
        </w:rPr>
        <w:drawing>
          <wp:inline distT="0" distB="0" distL="0" distR="0" wp14:anchorId="33879970" wp14:editId="74162CCF">
            <wp:extent cx="5939790" cy="3220085"/>
            <wp:effectExtent l="0" t="0" r="3810" b="0"/>
            <wp:docPr id="3" name="Picture 3" descr="C:\Users\Michelle Larkin\Downloads\June-Wedding-Blog-Header-682x37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lle Larkin\Downloads\June-Wedding-Blog-Header-682x370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t>Do we hear wedding bells? For Prince Harry and Meghan Markle the countdown is on for their royal wedding</w:t>
      </w:r>
      <w:r w:rsidR="005065BA">
        <w:rPr>
          <w:rFonts w:asciiTheme="minorHAnsi" w:hAnsiTheme="minorHAnsi" w:cstheme="minorHAnsi"/>
          <w:noProof/>
          <w:color w:val="auto"/>
          <w:lang w:val="en-US"/>
        </w:rPr>
        <w:t>.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</w:t>
      </w:r>
      <w:r w:rsidR="0057364C" w:rsidRPr="004F3B00">
        <w:rPr>
          <w:rFonts w:asciiTheme="minorHAnsi" w:hAnsiTheme="minorHAnsi" w:cstheme="minorHAnsi"/>
          <w:noProof/>
          <w:color w:val="auto"/>
          <w:lang w:val="en-US"/>
        </w:rPr>
        <w:t xml:space="preserve">While their entire menu hasn’t been released, the royal couple will serve biscuits with a mango panna cotta topping at their reception at Windsor Castle. With inspiration from the wedding of the century, we 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have some ideas for how you can add </w:t>
      </w:r>
      <w:r w:rsidR="0057364C" w:rsidRPr="004F3B00">
        <w:rPr>
          <w:rFonts w:asciiTheme="minorHAnsi" w:hAnsiTheme="minorHAnsi" w:cstheme="minorHAnsi"/>
          <w:noProof/>
          <w:color w:val="auto"/>
          <w:lang w:val="en-US"/>
        </w:rPr>
        <w:t>the king of fruits to your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menu</w:t>
      </w:r>
      <w:r w:rsidR="0057364C" w:rsidRPr="004F3B00">
        <w:rPr>
          <w:rFonts w:asciiTheme="minorHAnsi" w:hAnsiTheme="minorHAnsi" w:cstheme="minorHAnsi"/>
          <w:noProof/>
          <w:color w:val="auto"/>
          <w:lang w:val="en-US"/>
        </w:rPr>
        <w:t xml:space="preserve"> – just like Harry and Meghan!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</w:t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drawing>
          <wp:inline distT="0" distB="0" distL="0" distR="0" wp14:anchorId="2AEE1FE0" wp14:editId="0C499C76">
            <wp:extent cx="2743200" cy="1846983"/>
            <wp:effectExtent l="0" t="0" r="0" b="0"/>
            <wp:docPr id="1073741836" name="officeArt object" descr="C:\Users\Michelle Larkin\AppData\Local\Microsoft\Windows\INetCache\Content.Word\erinscott_mangoshrimpshooter_largehighrez-98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12.jpg" descr="C:\Users\Michelle Larkin\AppData\Local\Microsoft\Windows\INetCache\Content.Word\erinscott_mangoshrimpshooter_largehighrez-9836.jpg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469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1A6B9A">
        <w:rPr>
          <w:rFonts w:asciiTheme="minorHAnsi" w:hAnsiTheme="minorHAnsi" w:cstheme="minorHAnsi"/>
          <w:noProof/>
          <w:color w:val="auto"/>
          <w:lang w:val="en-US"/>
        </w:rPr>
        <w:t xml:space="preserve"> </w:t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After you’ve said your “I dos,” but before it’s time for dinner, a lot of couples are opting for a cocktail hour. </w:t>
      </w:r>
      <w:r w:rsidR="0057364C" w:rsidRPr="004F3B00">
        <w:rPr>
          <w:rFonts w:asciiTheme="minorHAnsi" w:hAnsiTheme="minorHAnsi" w:cstheme="minorHAnsi"/>
          <w:noProof/>
          <w:color w:val="auto"/>
          <w:lang w:val="en-US"/>
        </w:rPr>
        <w:t>In fact, the royal couple will be completely skipping a traditional sit-down reception for their 600 guests, and will serve everything in bowl dishes to enjoy standing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>. A perfect and portable appetizer</w:t>
      </w:r>
      <w:r w:rsidR="0057364C" w:rsidRPr="004F3B00">
        <w:rPr>
          <w:rFonts w:asciiTheme="minorHAnsi" w:hAnsiTheme="minorHAnsi" w:cstheme="minorHAnsi"/>
          <w:noProof/>
          <w:color w:val="auto"/>
          <w:lang w:val="en-US"/>
        </w:rPr>
        <w:t xml:space="preserve"> for this type of celebration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, these </w:t>
      </w:r>
      <w:hyperlink r:id="rId6" w:history="1">
        <w:r w:rsidRPr="004F3B00">
          <w:rPr>
            <w:rStyle w:val="Hyperlink2"/>
            <w:rFonts w:asciiTheme="minorHAnsi" w:hAnsiTheme="minorHAnsi" w:cstheme="minorHAnsi"/>
            <w:noProof/>
            <w:color w:val="auto"/>
            <w:lang w:val="en-US"/>
          </w:rPr>
          <w:t>succulent shrimp and fresh mango shooters</w:t>
        </w:r>
      </w:hyperlink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are served on picks and in shot glasses, making it super easy to enjoy while chatting up your long-lost relatives. </w:t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lastRenderedPageBreak/>
        <w:drawing>
          <wp:inline distT="0" distB="0" distL="0" distR="0" wp14:anchorId="7F04044D" wp14:editId="5825E8F8">
            <wp:extent cx="2743200" cy="1743283"/>
            <wp:effectExtent l="0" t="0" r="0" b="0"/>
            <wp:docPr id="1073741837" name="officeArt object" descr="C:\Users\Michelle Larkin\AppData\Local\Microsoft\Windows\INetCache\Content.Word\At_the_Gates_Cocktai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13.jpg" descr="C:\Users\Michelle Larkin\AppData\Local\Microsoft\Windows\INetCache\Content.Word\At_the_Gates_Cocktail_1.jp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432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t>No party is complete without a signature cocktail. This tequila-based “</w:t>
      </w:r>
      <w:hyperlink r:id="rId8" w:history="1">
        <w:r w:rsidRPr="004F3B00">
          <w:rPr>
            <w:rStyle w:val="Hyperlink2"/>
            <w:rFonts w:asciiTheme="minorHAnsi" w:hAnsiTheme="minorHAnsi" w:cstheme="minorHAnsi"/>
            <w:noProof/>
            <w:color w:val="auto"/>
            <w:lang w:val="en-US"/>
          </w:rPr>
          <w:t>At the Gates” mango cocktail</w:t>
        </w:r>
      </w:hyperlink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will make you feel like you’re </w:t>
      </w:r>
      <w:r w:rsidR="0057364C" w:rsidRPr="004F3B00">
        <w:rPr>
          <w:rFonts w:asciiTheme="minorHAnsi" w:hAnsiTheme="minorHAnsi" w:cstheme="minorHAnsi"/>
          <w:noProof/>
          <w:color w:val="auto"/>
          <w:lang w:val="en-US"/>
        </w:rPr>
        <w:t>a princess (or prince!)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>. Served with fresh mint and mango syrup, this is a refreshing drink that is sure to get your guests out on the dance floor.</w:t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BB7F7C" w:rsidRPr="004F3B00" w:rsidRDefault="0057364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drawing>
          <wp:inline distT="0" distB="0" distL="0" distR="0">
            <wp:extent cx="2742992" cy="3301696"/>
            <wp:effectExtent l="0" t="0" r="635" b="0"/>
            <wp:docPr id="1" name="Picture 1" descr="C:\Users\Michelle Larkin\Desktop\Images &amp; Graphics\UGC\Easy-Mango-Panna-Cott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 Larkin\Desktop\Images &amp; Graphics\UGC\Easy-Mango-Panna-Cotta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2"/>
                    <a:stretch/>
                  </pic:blipFill>
                  <pic:spPr bwMode="auto">
                    <a:xfrm>
                      <a:off x="0" y="0"/>
                      <a:ext cx="2743200" cy="330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64C" w:rsidRPr="004F3B00" w:rsidRDefault="0057364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57364C" w:rsidRPr="004F3B00" w:rsidRDefault="00BE61F6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Eat like a royal on your wedding day with a </w:t>
      </w:r>
      <w:hyperlink r:id="rId10" w:history="1">
        <w:r w:rsidRPr="004F3B00">
          <w:rPr>
            <w:rStyle w:val="Hyperlink"/>
            <w:rFonts w:asciiTheme="minorHAnsi" w:hAnsiTheme="minorHAnsi" w:cstheme="minorHAnsi"/>
            <w:b/>
            <w:noProof/>
            <w:lang w:val="en-US"/>
          </w:rPr>
          <w:t>mango panna cotta</w:t>
        </w:r>
      </w:hyperlink>
      <w:r w:rsidRPr="004F3B00">
        <w:rPr>
          <w:rFonts w:asciiTheme="minorHAnsi" w:hAnsiTheme="minorHAnsi" w:cstheme="minorHAnsi"/>
          <w:noProof/>
          <w:color w:val="auto"/>
          <w:lang w:val="en-US"/>
        </w:rPr>
        <w:t>. The royal bride and groom opted for a panna cotta topping over biscuits (or cookies on our side of the pond), but this sweet dessert is a delicious alternative.</w:t>
      </w:r>
      <w:r w:rsidR="00AD7539">
        <w:rPr>
          <w:rFonts w:asciiTheme="minorHAnsi" w:hAnsiTheme="minorHAnsi" w:cstheme="minorHAnsi"/>
          <w:noProof/>
          <w:color w:val="auto"/>
          <w:lang w:val="en-US"/>
        </w:rPr>
        <w:t xml:space="preserve"> If you’re sticking with the grab-and-go style reception, these sunny desserts can be made in small mason jars, ramekins or other cute containers. </w:t>
      </w: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</w:t>
      </w:r>
      <w:r w:rsidR="008F5780">
        <w:rPr>
          <w:rFonts w:asciiTheme="minorHAnsi" w:hAnsiTheme="minorHAnsi" w:cstheme="minorHAnsi"/>
          <w:noProof/>
          <w:color w:val="auto"/>
          <w:lang w:val="en-US"/>
        </w:rPr>
        <w:t xml:space="preserve"> </w:t>
      </w:r>
    </w:p>
    <w:p w:rsidR="0057364C" w:rsidRPr="004F3B00" w:rsidRDefault="0057364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lastRenderedPageBreak/>
        <w:drawing>
          <wp:inline distT="0" distB="0" distL="0" distR="0" wp14:anchorId="3338B119" wp14:editId="20EED703">
            <wp:extent cx="5939791" cy="2377440"/>
            <wp:effectExtent l="0" t="0" r="0" b="0"/>
            <wp:docPr id="1073741839" name="officeArt object" descr="C:\Users\Michelle Larkin\AppData\Local\Microsoft\Windows\INetCache\Content.Word\Fruit-Roll-Ups-How-To-Blog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5.png" descr="C:\Users\Michelle Larkin\AppData\Local\Microsoft\Windows\INetCache\Content.Word\Fruit-Roll-Ups-How-To-Blog (1).png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1" cy="2377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B7F7C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293720" w:rsidRPr="004F3B00" w:rsidRDefault="00BB7F7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The best wedding favors are ones that people can actually use. If you’re a DIY bride or groom, these </w:t>
      </w:r>
      <w:hyperlink r:id="rId12" w:history="1">
        <w:r w:rsidRPr="004F3B00">
          <w:rPr>
            <w:rStyle w:val="Hyperlink2"/>
            <w:rFonts w:asciiTheme="minorHAnsi" w:hAnsiTheme="minorHAnsi" w:cstheme="minorHAnsi"/>
            <w:noProof/>
            <w:color w:val="auto"/>
            <w:lang w:val="en-US"/>
          </w:rPr>
          <w:t>fresh mango fruit roll-ups</w:t>
        </w:r>
      </w:hyperlink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 are a fun and tasty gift your guests can take home to enjoy. Create a small card with your names and wedding date to tie onto the twine, and you’ve got an easy, inexpensive and delicious mango favor.</w:t>
      </w:r>
    </w:p>
    <w:p w:rsidR="0057364C" w:rsidRPr="004F3B00" w:rsidRDefault="0057364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</w:p>
    <w:p w:rsidR="0057364C" w:rsidRPr="004F3B00" w:rsidRDefault="0057364C" w:rsidP="00BB7F7C">
      <w:pPr>
        <w:pStyle w:val="Body"/>
        <w:spacing w:after="0" w:line="240" w:lineRule="auto"/>
        <w:rPr>
          <w:rFonts w:asciiTheme="minorHAnsi" w:hAnsiTheme="minorHAnsi" w:cstheme="minorHAnsi"/>
          <w:noProof/>
          <w:color w:val="auto"/>
          <w:lang w:val="en-US"/>
        </w:rPr>
      </w:pPr>
      <w:r w:rsidRPr="004F3B00">
        <w:rPr>
          <w:rFonts w:asciiTheme="minorHAnsi" w:hAnsiTheme="minorHAnsi" w:cstheme="minorHAnsi"/>
          <w:noProof/>
          <w:color w:val="auto"/>
          <w:lang w:val="en-US"/>
        </w:rPr>
        <w:t xml:space="preserve">No matter the wedding you host, </w:t>
      </w:r>
      <w:r w:rsidR="00AD7539">
        <w:rPr>
          <w:rFonts w:asciiTheme="minorHAnsi" w:hAnsiTheme="minorHAnsi" w:cstheme="minorHAnsi"/>
          <w:noProof/>
          <w:color w:val="auto"/>
          <w:lang w:val="en-US"/>
        </w:rPr>
        <w:t>you’</w:t>
      </w:r>
      <w:r w:rsidR="001A6B9A">
        <w:rPr>
          <w:rFonts w:asciiTheme="minorHAnsi" w:hAnsiTheme="minorHAnsi" w:cstheme="minorHAnsi"/>
          <w:noProof/>
          <w:color w:val="auto"/>
          <w:lang w:val="en-US"/>
        </w:rPr>
        <w:t>re going to feel like royalty when you see your spouse-to-be at the end of the aisle. Until then, we’re on the edge of our seats to see how else Meghan and Harry might incorporate mangos into their big day!</w:t>
      </w:r>
    </w:p>
    <w:sectPr w:rsidR="0057364C" w:rsidRPr="004F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C"/>
    <w:rsid w:val="001A6B9A"/>
    <w:rsid w:val="00293720"/>
    <w:rsid w:val="00311926"/>
    <w:rsid w:val="00324535"/>
    <w:rsid w:val="004F3B00"/>
    <w:rsid w:val="005065BA"/>
    <w:rsid w:val="0057364C"/>
    <w:rsid w:val="008F5780"/>
    <w:rsid w:val="00AD7539"/>
    <w:rsid w:val="00BB7F7C"/>
    <w:rsid w:val="00BE61F6"/>
    <w:rsid w:val="00D26FF9"/>
    <w:rsid w:val="00D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C3D6"/>
  <w15:chartTrackingRefBased/>
  <w15:docId w15:val="{80C58254-3213-4CD4-A956-1E1F6E16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B7F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/>
    </w:rPr>
  </w:style>
  <w:style w:type="character" w:customStyle="1" w:styleId="Hyperlink2">
    <w:name w:val="Hyperlink.2"/>
    <w:basedOn w:val="DefaultParagraphFont"/>
    <w:rsid w:val="00BB7F7C"/>
    <w:rPr>
      <w:rFonts w:ascii="Trebuchet MS" w:eastAsia="Trebuchet MS" w:hAnsi="Trebuchet MS" w:cs="Trebuchet MS"/>
      <w:b/>
      <w:bCs/>
      <w:color w:val="0563C1"/>
      <w:u w:val="single" w:color="0563C1"/>
    </w:rPr>
  </w:style>
  <w:style w:type="character" w:styleId="Hyperlink">
    <w:name w:val="Hyperlink"/>
    <w:basedOn w:val="DefaultParagraphFont"/>
    <w:uiPriority w:val="99"/>
    <w:unhideWhenUsed/>
    <w:rsid w:val="00BE6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go.org/recipes/at-the-gates-cocktai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mango.org/recipes/mango-fruit-roll-u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go.org/recipes/succulent-shrimp-fresh-mango-shooters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://www.mango.org/recipes/mango-panna-cotta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Larkin</dc:creator>
  <cp:keywords/>
  <dc:description/>
  <cp:lastModifiedBy>Michelle Larkin</cp:lastModifiedBy>
  <cp:revision>9</cp:revision>
  <dcterms:created xsi:type="dcterms:W3CDTF">2018-05-16T15:46:00Z</dcterms:created>
  <dcterms:modified xsi:type="dcterms:W3CDTF">2018-05-16T17:59:00Z</dcterms:modified>
</cp:coreProperties>
</file>